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34C" w:rsidRPr="00375D6C" w:rsidRDefault="0040534C" w:rsidP="0040534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ar-SA"/>
        </w:rPr>
      </w:pPr>
      <w:r w:rsidRPr="00375D6C">
        <w:rPr>
          <w:rFonts w:ascii="Times New Roman" w:eastAsia="Times New Roman" w:hAnsi="Times New Roman" w:cs="Times New Roman"/>
          <w:lang w:eastAsia="ar-SA"/>
        </w:rPr>
        <w:t>Приложение 2</w:t>
      </w:r>
      <w:r w:rsidR="000841BF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375D6C">
        <w:rPr>
          <w:rFonts w:ascii="Times New Roman" w:eastAsia="Times New Roman" w:hAnsi="Times New Roman" w:cs="Times New Roman"/>
          <w:lang w:eastAsia="ar-SA"/>
        </w:rPr>
        <w:t xml:space="preserve">к Положению об организации системы </w:t>
      </w:r>
    </w:p>
    <w:p w:rsidR="0040534C" w:rsidRPr="00375D6C" w:rsidRDefault="0040534C" w:rsidP="0040534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ar-SA"/>
        </w:rPr>
      </w:pPr>
      <w:r w:rsidRPr="00375D6C">
        <w:rPr>
          <w:rFonts w:ascii="Times New Roman" w:eastAsia="Times New Roman" w:hAnsi="Times New Roman" w:cs="Times New Roman"/>
          <w:lang w:eastAsia="ar-SA"/>
        </w:rPr>
        <w:t xml:space="preserve">внутреннего обеспечения соответствия </w:t>
      </w:r>
    </w:p>
    <w:p w:rsidR="0040534C" w:rsidRPr="000841BF" w:rsidRDefault="0040534C" w:rsidP="0040534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ar-SA"/>
        </w:rPr>
      </w:pPr>
      <w:r w:rsidRPr="00375D6C">
        <w:rPr>
          <w:rFonts w:ascii="Times New Roman" w:eastAsia="Times New Roman" w:hAnsi="Times New Roman" w:cs="Times New Roman"/>
          <w:lang w:eastAsia="ar-SA"/>
        </w:rPr>
        <w:t>требованиям антимонопольного законодательства</w:t>
      </w:r>
      <w:r w:rsidRPr="000841BF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40534C" w:rsidRPr="000841BF" w:rsidRDefault="0040534C" w:rsidP="0040534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ar-SA"/>
        </w:rPr>
      </w:pPr>
      <w:r w:rsidRPr="000841BF">
        <w:rPr>
          <w:rFonts w:ascii="Times New Roman" w:eastAsia="Times New Roman" w:hAnsi="Times New Roman" w:cs="Times New Roman"/>
          <w:lang w:eastAsia="ar-SA"/>
        </w:rPr>
        <w:t xml:space="preserve">в </w:t>
      </w:r>
      <w:proofErr w:type="gramStart"/>
      <w:r w:rsidRPr="000841BF">
        <w:rPr>
          <w:rFonts w:ascii="Times New Roman" w:eastAsia="Times New Roman" w:hAnsi="Times New Roman" w:cs="Times New Roman"/>
          <w:lang w:eastAsia="ar-SA"/>
        </w:rPr>
        <w:t>администрации</w:t>
      </w:r>
      <w:proofErr w:type="gramEnd"/>
      <w:r w:rsidRPr="000841BF">
        <w:rPr>
          <w:rFonts w:ascii="Times New Roman" w:eastAsia="Times New Roman" w:hAnsi="Times New Roman" w:cs="Times New Roman"/>
          <w:lang w:eastAsia="ar-SA"/>
        </w:rPr>
        <w:t xml:space="preserve"> ЗАТО Озерный</w:t>
      </w:r>
    </w:p>
    <w:p w:rsidR="000841BF" w:rsidRDefault="000841BF" w:rsidP="0040534C">
      <w:pPr>
        <w:spacing w:after="0" w:line="240" w:lineRule="auto"/>
        <w:ind w:firstLine="709"/>
        <w:jc w:val="right"/>
        <w:rPr>
          <w:rFonts w:eastAsia="Times New Roman"/>
        </w:rPr>
      </w:pPr>
    </w:p>
    <w:p w:rsidR="00C039A6" w:rsidRDefault="00C039A6" w:rsidP="00C039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9A6" w:rsidRDefault="00C039A6" w:rsidP="00C039A6">
      <w:pPr>
        <w:spacing w:after="0" w:line="240" w:lineRule="auto"/>
        <w:ind w:firstLine="90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УТВЕРЖДАЮ</w:t>
      </w:r>
    </w:p>
    <w:p w:rsidR="00C039A6" w:rsidRPr="009534BA" w:rsidRDefault="00C039A6" w:rsidP="00C039A6">
      <w:pPr>
        <w:spacing w:after="0" w:line="240" w:lineRule="auto"/>
        <w:ind w:firstLine="90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34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главы </w:t>
      </w:r>
      <w:proofErr w:type="gramStart"/>
      <w:r w:rsidRPr="009534B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9534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Озерный, </w:t>
      </w:r>
    </w:p>
    <w:p w:rsidR="00C039A6" w:rsidRDefault="00C039A6" w:rsidP="00C039A6">
      <w:pPr>
        <w:spacing w:after="0" w:line="240" w:lineRule="auto"/>
        <w:ind w:firstLine="90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34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отдела муниципальных закупок и </w:t>
      </w:r>
    </w:p>
    <w:p w:rsidR="00C039A6" w:rsidRDefault="00C039A6" w:rsidP="00C039A6">
      <w:pPr>
        <w:spacing w:after="0" w:line="240" w:lineRule="auto"/>
        <w:ind w:firstLine="90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34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бухгалтерского учета        </w:t>
      </w:r>
    </w:p>
    <w:p w:rsidR="00C039A6" w:rsidRDefault="00C039A6" w:rsidP="00C039A6">
      <w:pPr>
        <w:spacing w:after="0" w:line="240" w:lineRule="auto"/>
        <w:ind w:firstLine="90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</w:t>
      </w:r>
      <w:r w:rsidRPr="009534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Е.Н. Муратова</w:t>
      </w:r>
    </w:p>
    <w:p w:rsidR="00C039A6" w:rsidRPr="009534BA" w:rsidRDefault="00C039A6" w:rsidP="00C039A6">
      <w:pPr>
        <w:spacing w:after="0" w:line="240" w:lineRule="auto"/>
        <w:ind w:firstLine="90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30.12.2020 г.</w:t>
      </w:r>
    </w:p>
    <w:p w:rsidR="00C039A6" w:rsidRDefault="00C039A6" w:rsidP="0040534C">
      <w:pPr>
        <w:spacing w:after="0" w:line="240" w:lineRule="auto"/>
        <w:ind w:firstLine="709"/>
        <w:jc w:val="right"/>
        <w:rPr>
          <w:rFonts w:eastAsia="Times New Roman"/>
        </w:rPr>
      </w:pPr>
    </w:p>
    <w:p w:rsidR="00C039A6" w:rsidRDefault="00C039A6" w:rsidP="0040534C">
      <w:pPr>
        <w:spacing w:after="0" w:line="240" w:lineRule="auto"/>
        <w:ind w:firstLine="709"/>
        <w:jc w:val="right"/>
        <w:rPr>
          <w:rFonts w:eastAsia="Times New Roman"/>
        </w:rPr>
      </w:pPr>
    </w:p>
    <w:p w:rsidR="0040534C" w:rsidRDefault="0040534C" w:rsidP="0040534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284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66095B">
        <w:rPr>
          <w:rFonts w:ascii="Times New Roman" w:eastAsia="Calibri" w:hAnsi="Times New Roman" w:cs="Times New Roman"/>
          <w:sz w:val="28"/>
          <w:szCs w:val="28"/>
        </w:rPr>
        <w:t>Карта рисков</w:t>
      </w:r>
      <w:r w:rsidR="00E40C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39A6" w:rsidRPr="00C039A6">
        <w:rPr>
          <w:rFonts w:ascii="Times New Roman" w:eastAsia="Calibri" w:hAnsi="Times New Roman" w:cs="Times New Roman"/>
          <w:sz w:val="28"/>
          <w:szCs w:val="28"/>
        </w:rPr>
        <w:t>нарушения антимонопольного законодательства</w:t>
      </w:r>
      <w:r w:rsidR="00C039A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40C24">
        <w:rPr>
          <w:rFonts w:ascii="Times New Roman" w:eastAsia="Calibri" w:hAnsi="Times New Roman" w:cs="Times New Roman"/>
          <w:sz w:val="28"/>
          <w:szCs w:val="28"/>
        </w:rPr>
        <w:t>на 2021 год</w:t>
      </w:r>
    </w:p>
    <w:p w:rsidR="00C039A6" w:rsidRPr="0066095B" w:rsidRDefault="00C039A6" w:rsidP="0040534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284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4"/>
        <w:tblW w:w="15451" w:type="dxa"/>
        <w:tblInd w:w="-176" w:type="dxa"/>
        <w:tblLayout w:type="fixed"/>
        <w:tblLook w:val="04A0"/>
      </w:tblPr>
      <w:tblGrid>
        <w:gridCol w:w="675"/>
        <w:gridCol w:w="4145"/>
        <w:gridCol w:w="3402"/>
        <w:gridCol w:w="2977"/>
        <w:gridCol w:w="2126"/>
        <w:gridCol w:w="2126"/>
      </w:tblGrid>
      <w:tr w:rsidR="0040534C" w:rsidRPr="000841BF" w:rsidTr="00004CF5">
        <w:tc>
          <w:tcPr>
            <w:tcW w:w="675" w:type="dxa"/>
            <w:vAlign w:val="center"/>
          </w:tcPr>
          <w:p w:rsidR="0040534C" w:rsidRPr="000841BF" w:rsidRDefault="0040534C" w:rsidP="00E9706F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145" w:type="dxa"/>
            <w:vAlign w:val="center"/>
          </w:tcPr>
          <w:p w:rsidR="0040534C" w:rsidRPr="000841BF" w:rsidRDefault="0040534C" w:rsidP="00E9706F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Описание риска</w:t>
            </w:r>
          </w:p>
        </w:tc>
        <w:tc>
          <w:tcPr>
            <w:tcW w:w="3402" w:type="dxa"/>
            <w:vAlign w:val="center"/>
          </w:tcPr>
          <w:p w:rsidR="0040534C" w:rsidRPr="000841BF" w:rsidRDefault="000841BF" w:rsidP="000841BF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Причины и условия возникнове</w:t>
            </w:r>
            <w:r w:rsidR="0040534C"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ния риска и его оценка</w:t>
            </w:r>
          </w:p>
        </w:tc>
        <w:tc>
          <w:tcPr>
            <w:tcW w:w="2977" w:type="dxa"/>
            <w:vAlign w:val="center"/>
          </w:tcPr>
          <w:p w:rsidR="0040534C" w:rsidRPr="000841BF" w:rsidRDefault="0040534C" w:rsidP="00E9706F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 по минимизации и устранению риска</w:t>
            </w:r>
          </w:p>
        </w:tc>
        <w:tc>
          <w:tcPr>
            <w:tcW w:w="2126" w:type="dxa"/>
            <w:vAlign w:val="center"/>
          </w:tcPr>
          <w:p w:rsidR="0040534C" w:rsidRPr="000841BF" w:rsidRDefault="0040534C" w:rsidP="00E9706F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Наличие (отсутствие) остаточного риска и управление им</w:t>
            </w:r>
          </w:p>
        </w:tc>
        <w:tc>
          <w:tcPr>
            <w:tcW w:w="2126" w:type="dxa"/>
            <w:vAlign w:val="center"/>
          </w:tcPr>
          <w:p w:rsidR="0040534C" w:rsidRPr="000841BF" w:rsidRDefault="0040534C" w:rsidP="00E9706F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Вероятность повторного возникновения риска</w:t>
            </w:r>
          </w:p>
        </w:tc>
      </w:tr>
      <w:tr w:rsidR="009534BA" w:rsidRPr="009534BA" w:rsidTr="00004CF5">
        <w:tc>
          <w:tcPr>
            <w:tcW w:w="675" w:type="dxa"/>
          </w:tcPr>
          <w:p w:rsidR="009534BA" w:rsidRPr="000841BF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45" w:type="dxa"/>
          </w:tcPr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действий, которые могут привести к ограничению конкуренции при проведении закупок конкурентными способами</w:t>
            </w:r>
          </w:p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участнику закупок  или нескольким участникам закупок преимущественных условий участия в закупках,  в том числе путем доступа к информации, если иное не установлено федеральным законом.</w:t>
            </w:r>
          </w:p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Нарушение порядка  определения победителя или победителей торгов. </w:t>
            </w: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Ограничение конкуренции между участниками закупок путем включения в состав  товаров, работ, услуг, технологически и функционально не связанных с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товарами, работами, услугами, поставки, выполнение, оказание которых являются объектом закупки.</w:t>
            </w:r>
          </w:p>
        </w:tc>
        <w:tc>
          <w:tcPr>
            <w:tcW w:w="3402" w:type="dxa"/>
          </w:tcPr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Нарушение антимонопольного законодательства в результате необоснованного ограничения допуска к торгам участников закупок в рамках Федерального закона от 05.04.2013 №-44 «О контрактной системе в сфере закупок товаров, работ, услуг для государственных и муниципальных нужд»</w:t>
            </w: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 выборе способа определения  поставщика, могут возникнуть действия, влекущие за собой необоснованное сокращение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числа участников закупки.</w:t>
            </w: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порядка и сроков размещения извещения о закупке.</w:t>
            </w: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Неприятие мер по  исключению конфликта  интересов</w:t>
            </w:r>
          </w:p>
          <w:p w:rsid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0841BF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Мониторинг и анализ изменений, вносимых в </w:t>
            </w: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регулирующие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НПА, </w:t>
            </w: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Проверка и подготовка извещения  органом, уполномоченным на определение поставщика, подрядчика, исполнителя.</w:t>
            </w: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Уведомление работодателя о случаях склонения сотрудников к совершению коррупционных правонарушений</w:t>
            </w:r>
          </w:p>
          <w:p w:rsid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Недопущение прямых контактов, переговоров, с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потенциальными участниками закупок.</w:t>
            </w:r>
          </w:p>
          <w:p w:rsid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0841BF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Осуществление внутреннего контроля бюджетной процедуры. </w:t>
            </w:r>
          </w:p>
        </w:tc>
        <w:tc>
          <w:tcPr>
            <w:tcW w:w="2126" w:type="dxa"/>
          </w:tcPr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При принятии мер риски могут быть снижены</w:t>
            </w:r>
          </w:p>
          <w:p w:rsid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1B4A7B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9534BA" w:rsidRPr="000841BF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  <w:tr w:rsidR="009534BA" w:rsidRPr="009534BA" w:rsidTr="00004CF5">
        <w:tc>
          <w:tcPr>
            <w:tcW w:w="675" w:type="dxa"/>
          </w:tcPr>
          <w:p w:rsidR="009534BA" w:rsidRPr="000841BF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145" w:type="dxa"/>
          </w:tcPr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Нарушение антимонопольного законодательства </w:t>
            </w: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9534BA" w:rsidRPr="000841BF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разработке и утверждении нормативных правовых актов (НПА), положения которых могут привести к ограничению конкуренции</w:t>
            </w:r>
          </w:p>
        </w:tc>
        <w:tc>
          <w:tcPr>
            <w:tcW w:w="3402" w:type="dxa"/>
          </w:tcPr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Разработка и утверждение НПА с нарушением требований антимонопольного законодательства.</w:t>
            </w:r>
          </w:p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Ненадлежащий уровень экспертизы и анализа проектов НПА на предмет соответствия нормам антимонопольного законодательства</w:t>
            </w:r>
          </w:p>
        </w:tc>
        <w:tc>
          <w:tcPr>
            <w:tcW w:w="2977" w:type="dxa"/>
          </w:tcPr>
          <w:p w:rsidR="009534BA" w:rsidRPr="009534BA" w:rsidRDefault="009534BA" w:rsidP="009534BA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</w:tcPr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принятии мер риски могут быть снижены</w:t>
            </w:r>
          </w:p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9534BA" w:rsidRPr="009534BA" w:rsidRDefault="00004CF5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9534BA"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Своевременное принятие мер</w:t>
            </w:r>
          </w:p>
          <w:p w:rsidR="009534BA" w:rsidRPr="009534BA" w:rsidRDefault="009534BA" w:rsidP="00C326D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</w:tbl>
    <w:p w:rsidR="0040534C" w:rsidRDefault="0040534C" w:rsidP="004053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34BA" w:rsidRPr="009534BA" w:rsidRDefault="009534BA" w:rsidP="004053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9A6" w:rsidRDefault="00C039A6" w:rsidP="004053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39A6" w:rsidSect="00A87610">
      <w:pgSz w:w="16838" w:h="11906" w:orient="landscape"/>
      <w:pgMar w:top="567" w:right="709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7F0AB7"/>
    <w:multiLevelType w:val="hybridMultilevel"/>
    <w:tmpl w:val="636A3074"/>
    <w:lvl w:ilvl="0" w:tplc="0419000F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5D7106B0"/>
    <w:multiLevelType w:val="hybridMultilevel"/>
    <w:tmpl w:val="A98E4D9A"/>
    <w:lvl w:ilvl="0" w:tplc="CB7252E6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0534C"/>
    <w:rsid w:val="00004CF5"/>
    <w:rsid w:val="000841BF"/>
    <w:rsid w:val="001B4A7B"/>
    <w:rsid w:val="00234A59"/>
    <w:rsid w:val="00261162"/>
    <w:rsid w:val="002C1C6B"/>
    <w:rsid w:val="0040534C"/>
    <w:rsid w:val="00511AF0"/>
    <w:rsid w:val="007D1ABF"/>
    <w:rsid w:val="009534BA"/>
    <w:rsid w:val="00A21EB6"/>
    <w:rsid w:val="00A87610"/>
    <w:rsid w:val="00AA2D15"/>
    <w:rsid w:val="00C039A6"/>
    <w:rsid w:val="00E40C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3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4">
    <w:name w:val="Сетка таблицы4"/>
    <w:basedOn w:val="a1"/>
    <w:uiPriority w:val="59"/>
    <w:rsid w:val="0040534C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40534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table" w:styleId="a3">
    <w:name w:val="Table Grid"/>
    <w:basedOn w:val="a1"/>
    <w:uiPriority w:val="59"/>
    <w:rsid w:val="004053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841B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534BA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534B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2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ОБУиО администрации ЗАТО Озерный</Company>
  <LinksUpToDate>false</LinksUpToDate>
  <CharactersWithSpaces>3049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Муратова</dc:creator>
  <cp:lastModifiedBy>Муратова</cp:lastModifiedBy>
  <cp:revision>6</cp:revision>
  <dcterms:created xsi:type="dcterms:W3CDTF">2022-03-03T07:18:00Z</dcterms:created>
  <dcterms:modified xsi:type="dcterms:W3CDTF">2022-03-05T13:26:00Z</dcterms:modified>
</cp:coreProperties>
</file>